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97" w:rsidRDefault="002F0394">
      <w:bookmarkStart w:id="0" w:name="_GoBack"/>
      <w:bookmarkEnd w:id="0"/>
      <w:r>
        <w:rPr>
          <w:b/>
          <w:sz w:val="28"/>
          <w:szCs w:val="28"/>
        </w:rPr>
        <w:t>Tallinna Bekkeri Sadam OÜ sadamatasud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>Kehtib alates 01.01.2018</w:t>
      </w:r>
    </w:p>
    <w:p w:rsidR="00EA0697" w:rsidRDefault="00EA0697">
      <w:pPr>
        <w:rPr>
          <w:sz w:val="24"/>
          <w:szCs w:val="24"/>
        </w:rPr>
      </w:pPr>
    </w:p>
    <w:p w:rsidR="00EA0697" w:rsidRDefault="002F0394">
      <w:r>
        <w:rPr>
          <w:b/>
          <w:sz w:val="24"/>
          <w:szCs w:val="24"/>
        </w:rPr>
        <w:t>Sadamabaastasu</w:t>
      </w:r>
    </w:p>
    <w:p w:rsidR="00EA0697" w:rsidRDefault="002F0394">
      <w:r>
        <w:rPr>
          <w:b/>
        </w:rPr>
        <w:t>1</w:t>
      </w:r>
      <w:r>
        <w:t xml:space="preserve">. Sadamatasude arvestamisel loetakse üheks külastuseks laeva saabumist ükskõik millisesse OÜ Tallinna </w:t>
      </w:r>
      <w:r>
        <w:t>Bekkeri Sadam poolt opereeritavasse sadamasse, s.o. Bekkeri või Meeruse sadamasse olenemata laeva külastuse eesmärgist. Edaspidi arvestatakse sadamatasu baassadamatasuna – tonnaaži-, kai-, kanali-, ja jäätmetasu. Sadamatasu arvestatakse 1,0 EUR/GT. Kui lae</w:t>
      </w:r>
      <w:r>
        <w:t>v ühe külastusega laadib ja lossib kaupa, siis võetakse laevalt kaitasu kogumahutavuse eest 1,5 kordselt baassadamatasu summast.</w:t>
      </w:r>
    </w:p>
    <w:p w:rsidR="00EA0697" w:rsidRDefault="002F0394">
      <w:r>
        <w:rPr>
          <w:b/>
        </w:rPr>
        <w:t>2.</w:t>
      </w:r>
      <w:r>
        <w:t xml:space="preserve"> Seisulaevade tariifi arvestusel ümardatakse ööpäev 12 tunnini ehk 0,5 ööpäevani kui laev on kai äärest lahkunud ajavahemikul</w:t>
      </w:r>
      <w:r>
        <w:t xml:space="preserve"> kella 00.00 kuni  12.00–ni ja 24 tunnini ehk täisööpäevani kui laev on kai äärest lahkunud ajavahemikul kella 12.00 – 24.00–ni. </w:t>
      </w:r>
    </w:p>
    <w:p w:rsidR="00EA0697" w:rsidRDefault="002F0394">
      <w:r>
        <w:rPr>
          <w:b/>
        </w:rPr>
        <w:t>3</w:t>
      </w:r>
      <w:r>
        <w:t xml:space="preserve">. Tasu suuruse arvestamisel ümardatakse aeg 0,5 tunnini. Ajavahemikku alla 30 minuti loetakse 0,5 tunniks ja üle 30 minuti 1 </w:t>
      </w:r>
      <w:r>
        <w:t xml:space="preserve">tunniks. </w:t>
      </w:r>
    </w:p>
    <w:p w:rsidR="00EA0697" w:rsidRDefault="002F0394">
      <w:r>
        <w:rPr>
          <w:b/>
        </w:rPr>
        <w:t>4.</w:t>
      </w:r>
      <w:r>
        <w:t xml:space="preserve"> Juhul kui laev tellib vaba kai peale laadimis- ja/või lossimistööde lõppu laevast mingitel olenevatel põhjustel (pisiremont, meeskonnavahetus, punkerdamine, jne.), siis tasuta periood laevale algab peale laadimis – ja/või lossimisoperatsioonid</w:t>
      </w:r>
      <w:r>
        <w:t>e lõppu, mis on 4 h. Kui laev jääb kai äärde kauemaks kui 4 h, siis rakendub laevale kehtestatud seisutariif, kokkuleppel sadama administratsiooniga, ööpäevas laeva</w:t>
      </w:r>
    </w:p>
    <w:p w:rsidR="00EA0697" w:rsidRDefault="002F0394">
      <w:r>
        <w:rPr>
          <w:b/>
        </w:rPr>
        <w:t>5.</w:t>
      </w:r>
      <w:r>
        <w:t xml:space="preserve"> Juhul kui laev tellib vaba kai või vajab seda enne laadimis- ja/või lossimistööde algust</w:t>
      </w:r>
      <w:r>
        <w:t xml:space="preserve"> laevast olenevatel põhjustel (pisiremont, meeskonnavahetus, punkerdamine, jne.), siis laevale rakendub koheselt peale sildumisoperatsioonide lõppu kehtestatud seisutariif – 2,5 EUR ööpäevas laeva üldpikkuse iga meetri pealt täiendavalt muudele sadamatasud</w:t>
      </w:r>
      <w:r>
        <w:t>ele vastavalt käesolevale teenuste ja tasude kogumikule, kuid laeva seisu aeg siinjuures on piiratud 4 tunniga.</w:t>
      </w:r>
    </w:p>
    <w:p w:rsidR="00EA0697" w:rsidRDefault="002F0394">
      <w:r>
        <w:rPr>
          <w:b/>
        </w:rPr>
        <w:t>6.</w:t>
      </w:r>
      <w:r>
        <w:t xml:space="preserve"> Kui laevast olenevatel põhjustel kai vabastamine ei ole võimalik ja seetõttu takistab sadamavaldajal oma lepinguliste kohustuste täitmist tei</w:t>
      </w:r>
      <w:r>
        <w:t xml:space="preserve">ste klientide ees, siis on sadamavaldajal õigus nõuda trahvi iga tunni eest 210 EUR, mil laev viibib kai ääres. </w:t>
      </w:r>
    </w:p>
    <w:p w:rsidR="00EA0697" w:rsidRDefault="002F0394">
      <w:r>
        <w:rPr>
          <w:b/>
        </w:rPr>
        <w:t>7.</w:t>
      </w:r>
      <w:r>
        <w:t xml:space="preserve"> Laevad, mis seisavad teise pardaga kai ääres maksavad kaitasu 1,25 EUR ööpäevas laeva üldpikkuse iga meetri pealt. </w:t>
      </w:r>
    </w:p>
    <w:p w:rsidR="00EA0697" w:rsidRDefault="00EA0697"/>
    <w:p w:rsidR="00EA0697" w:rsidRDefault="002F0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Sildumistasu</w:t>
      </w:r>
    </w:p>
    <w:p w:rsidR="00EA0697" w:rsidRDefault="002F0394"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Cs/>
        </w:rPr>
        <w:t xml:space="preserve">GT vahemik </w:t>
      </w:r>
      <w:r>
        <w:rPr>
          <w:bCs/>
        </w:rPr>
        <w:tab/>
        <w:t xml:space="preserve">                  EUR      </w:t>
      </w:r>
    </w:p>
    <w:tbl>
      <w:tblPr>
        <w:tblW w:w="30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992"/>
      </w:tblGrid>
      <w:tr w:rsidR="00EA069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Kuni 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120</w:t>
            </w:r>
          </w:p>
        </w:tc>
      </w:tr>
      <w:tr w:rsidR="00EA0697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2501 - 5000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170</w:t>
            </w:r>
          </w:p>
        </w:tc>
      </w:tr>
      <w:tr w:rsidR="00EA0697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5001 - 7500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220</w:t>
            </w:r>
          </w:p>
        </w:tc>
      </w:tr>
      <w:tr w:rsidR="00EA0697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7501 - üle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97" w:rsidRDefault="002F0394">
            <w:r>
              <w:t>290</w:t>
            </w:r>
          </w:p>
        </w:tc>
      </w:tr>
    </w:tbl>
    <w:p w:rsidR="00EA0697" w:rsidRDefault="00EA0697">
      <w:pPr>
        <w:rPr>
          <w:b/>
          <w:bCs/>
          <w:iCs/>
          <w:sz w:val="28"/>
          <w:szCs w:val="28"/>
        </w:rPr>
      </w:pPr>
    </w:p>
    <w:p w:rsidR="00EA0697" w:rsidRDefault="002F039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Jäätmetasu </w:t>
      </w:r>
    </w:p>
    <w:p w:rsidR="00EA0697" w:rsidRDefault="002F0394">
      <w:r>
        <w:rPr>
          <w:b/>
        </w:rPr>
        <w:t>1.</w:t>
      </w:r>
      <w:r>
        <w:t xml:space="preserve"> Jäätmetasu võetakse laeva kogumahutavuse (GT) järgi igal sadama külastusel olenemata sellest, kas jäätmeid anti ära</w:t>
      </w:r>
      <w:r>
        <w:t xml:space="preserve"> või mitte ja vastavalt jäätmetasu määrale Jäätmetasu arvestatakse baassadamatasuna. </w:t>
      </w:r>
    </w:p>
    <w:p w:rsidR="00EA0697" w:rsidRDefault="002F0394">
      <w:r>
        <w:rPr>
          <w:b/>
        </w:rPr>
        <w:t>2.</w:t>
      </w:r>
      <w:r>
        <w:t xml:space="preserve"> Juhul kui laeva külastus sadamas kujuneb pikemaks kui 30 ööpäeva, siis maksab laev täiendavalt jäätmetasu vastavalt punktis 4.15.1. toodud määrale iga alustatud 30 ööp</w:t>
      </w:r>
      <w:r>
        <w:t>äeva eest ja vastavalt jäätmetasu määrale -  0,020 EUR/GT.</w:t>
      </w:r>
    </w:p>
    <w:p w:rsidR="00EA0697" w:rsidRDefault="00EA0697"/>
    <w:p w:rsidR="00EA0697" w:rsidRDefault="002F0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Muud tasud ja teenused</w:t>
      </w:r>
    </w:p>
    <w:p w:rsidR="00EA0697" w:rsidRDefault="002F0394">
      <w:r>
        <w:rPr>
          <w:b/>
        </w:rPr>
        <w:t>1.</w:t>
      </w:r>
      <w:r>
        <w:t xml:space="preserve"> Laeva valdaja, esindaja, operaatori, prahtija, agendi ja/või mõne teise laeva ükskõik millise kommertseesmärkidel kasutava või -teenindatava osapoole süül põhjustatud </w:t>
      </w:r>
      <w:r>
        <w:t>sadama töökatkestuse ja/või seisaku korral tuleb tasuda trahvi 210 EUR/h iga tunni eest.</w:t>
      </w:r>
    </w:p>
    <w:p w:rsidR="00EA0697" w:rsidRDefault="002F0394">
      <w:r>
        <w:rPr>
          <w:b/>
        </w:rPr>
        <w:t>2.</w:t>
      </w:r>
      <w:r>
        <w:t xml:space="preserve"> Laevad, mis keelduvad tellitud tööst vähem kui 2 tundi enne selle kokkulepitud algust, peavad tasuma trahvi 80 EUR/h kuni kokkulepitud tööde faktilise alustamiseni.</w:t>
      </w:r>
      <w:r>
        <w:t xml:space="preserve"> </w:t>
      </w:r>
    </w:p>
    <w:p w:rsidR="00EA0697" w:rsidRDefault="002F0394">
      <w:r>
        <w:rPr>
          <w:b/>
        </w:rPr>
        <w:t>3.</w:t>
      </w:r>
      <w:r>
        <w:t xml:space="preserve"> Laeva omavolilise lülitamise eest kalda elekrivõrku tuleb tasuda trahvi summas 1500 eurot juhtumi kohta.</w:t>
      </w:r>
    </w:p>
    <w:p w:rsidR="00EA0697" w:rsidRDefault="002F0394">
      <w:r>
        <w:rPr>
          <w:b/>
        </w:rPr>
        <w:t>4.</w:t>
      </w:r>
      <w:r>
        <w:t xml:space="preserve"> Kui laev, häirides ja segades või mingil muul viisil tehes võimatuks sadamas teis(te) laeva(de) laadimist-lossimist või muid sadama ja laeva se</w:t>
      </w:r>
      <w:r>
        <w:t>isukohalt oluliste tööde teostamist, võetakse täiendavat tasu 210 EUR / h iga tunni eest. Siinjuures peab laev sadama nõudmisel kai viivitamatult vabastama, kandes sellega seoses kõik võimalikud kulud, mis võivad vajalikuks osutuda.</w:t>
      </w:r>
    </w:p>
    <w:p w:rsidR="00EA0697" w:rsidRDefault="00EA0697">
      <w:pPr>
        <w:rPr>
          <w:b/>
          <w:sz w:val="28"/>
          <w:szCs w:val="28"/>
        </w:rPr>
      </w:pPr>
    </w:p>
    <w:p w:rsidR="00EA0697" w:rsidRDefault="00EA0697">
      <w:pPr>
        <w:rPr>
          <w:b/>
          <w:sz w:val="28"/>
          <w:szCs w:val="28"/>
        </w:rPr>
      </w:pPr>
    </w:p>
    <w:p w:rsidR="00EA0697" w:rsidRDefault="00EA0697"/>
    <w:p w:rsidR="00EA0697" w:rsidRDefault="00EA0697"/>
    <w:sectPr w:rsidR="00EA06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94" w:rsidRDefault="002F0394">
      <w:pPr>
        <w:spacing w:after="0" w:line="240" w:lineRule="auto"/>
      </w:pPr>
      <w:r>
        <w:separator/>
      </w:r>
    </w:p>
  </w:endnote>
  <w:endnote w:type="continuationSeparator" w:id="0">
    <w:p w:rsidR="002F0394" w:rsidRDefault="002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94" w:rsidRDefault="002F03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0394" w:rsidRDefault="002F0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697"/>
    <w:rsid w:val="002F0394"/>
    <w:rsid w:val="005D4120"/>
    <w:rsid w:val="00EA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loots</dc:creator>
  <cp:lastModifiedBy>Tallinna Bekkeri Sadam OÜ</cp:lastModifiedBy>
  <cp:revision>2</cp:revision>
  <cp:lastPrinted>2018-01-11T12:27:00Z</cp:lastPrinted>
  <dcterms:created xsi:type="dcterms:W3CDTF">2018-01-12T08:33:00Z</dcterms:created>
  <dcterms:modified xsi:type="dcterms:W3CDTF">2018-01-12T08:33:00Z</dcterms:modified>
</cp:coreProperties>
</file>